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B84AA" w14:textId="55B0E28C" w:rsidR="0005279F" w:rsidRDefault="0005279F" w:rsidP="000527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5279F">
        <w:rPr>
          <w:rFonts w:ascii="Times New Roman" w:hAnsi="Times New Roman" w:cs="Times New Roman"/>
          <w:b/>
          <w:bCs/>
        </w:rPr>
        <w:t xml:space="preserve">Efficacia terapeutica di nuovi farmaci epigenetici e </w:t>
      </w:r>
      <w:r>
        <w:rPr>
          <w:rFonts w:ascii="Times New Roman" w:hAnsi="Times New Roman" w:cs="Times New Roman"/>
          <w:b/>
          <w:bCs/>
        </w:rPr>
        <w:br/>
      </w:r>
      <w:r w:rsidRPr="0005279F">
        <w:rPr>
          <w:rFonts w:ascii="Times New Roman" w:hAnsi="Times New Roman" w:cs="Times New Roman"/>
          <w:b/>
          <w:bCs/>
        </w:rPr>
        <w:t>strategie combinate nei sarcomi di Ewing</w:t>
      </w:r>
    </w:p>
    <w:p w14:paraId="7E9455EF" w14:textId="77777777" w:rsidR="0005279F" w:rsidRDefault="0005279F" w:rsidP="0005279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0B0E0330" w14:textId="2A46F0E5" w:rsidR="0005279F" w:rsidRPr="00D5058A" w:rsidRDefault="0005279F" w:rsidP="0005279F">
      <w:pPr>
        <w:spacing w:line="360" w:lineRule="auto"/>
        <w:jc w:val="center"/>
      </w:pPr>
      <w:r w:rsidRPr="00D5058A">
        <w:rPr>
          <w:rFonts w:ascii="Times New Roman" w:hAnsi="Times New Roman" w:cs="Times New Roman"/>
          <w:b/>
          <w:szCs w:val="24"/>
        </w:rPr>
        <w:t>Tutor: Prof.ssa Patrizia Nanni</w:t>
      </w:r>
    </w:p>
    <w:p w14:paraId="5C141F9F" w14:textId="77777777" w:rsidR="0005279F" w:rsidRDefault="0005279F">
      <w:pPr>
        <w:spacing w:after="0" w:line="360" w:lineRule="auto"/>
        <w:rPr>
          <w:rFonts w:ascii="Times New Roman" w:hAnsi="Times New Roman" w:cs="Times New Roman"/>
          <w:b/>
        </w:rPr>
      </w:pPr>
    </w:p>
    <w:p w14:paraId="18F3EB4A" w14:textId="2D0EFEA3" w:rsidR="00FB1B8F" w:rsidRPr="0005279F" w:rsidRDefault="00593623" w:rsidP="0005279F">
      <w:pPr>
        <w:spacing w:line="360" w:lineRule="auto"/>
        <w:rPr>
          <w:caps/>
        </w:rPr>
      </w:pPr>
      <w:r w:rsidRPr="0005279F">
        <w:rPr>
          <w:rFonts w:ascii="Times New Roman" w:hAnsi="Times New Roman" w:cs="Times New Roman"/>
          <w:b/>
          <w:caps/>
        </w:rPr>
        <w:t>Progetto di ricerca</w:t>
      </w:r>
    </w:p>
    <w:p w14:paraId="60963D5D" w14:textId="192D1044" w:rsidR="00FB1B8F" w:rsidRPr="00D5058A" w:rsidRDefault="00593623">
      <w:pPr>
        <w:spacing w:after="0" w:line="360" w:lineRule="auto"/>
        <w:jc w:val="both"/>
      </w:pPr>
      <w:r w:rsidRPr="00D5058A">
        <w:rPr>
          <w:rFonts w:ascii="Times New Roman" w:eastAsia="Times New Roman" w:hAnsi="Times New Roman" w:cs="Times New Roman"/>
          <w:sz w:val="23"/>
          <w:szCs w:val="23"/>
        </w:rPr>
        <w:t>Il sarcoma di Ewing (ES), pur essendo un tumore raro, è tra i più comuni tumori primitivi dell’osso, a prevalente insorgenza in età pediatrica o nell’adolescenza. Già alla dia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>gnosi può manifestarsi con alto grado di malignità o malattia metastatica. Gli approcci terapeutici combinati, basati su chirurgia, radioterapia, chemioterapia neoadiuvante e adiuvante ad alte dosi hanno migliorato la prognosi portando la sopravvivenza a 5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anni al 70% in caso di malattia localizzata. </w:t>
      </w:r>
      <w:r w:rsidR="0005279F" w:rsidRPr="00D5058A">
        <w:rPr>
          <w:rFonts w:ascii="Times New Roman" w:eastAsia="Times New Roman" w:hAnsi="Times New Roman" w:cs="Times New Roman"/>
          <w:sz w:val="23"/>
          <w:szCs w:val="23"/>
        </w:rPr>
        <w:t>Tuttavia,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nelle forme più aggressive, o in caso di malattia metastatica all’esordio, la sopravvivenza non supera il 40%. </w:t>
      </w:r>
      <w:r w:rsidR="0005279F" w:rsidRPr="00D5058A">
        <w:rPr>
          <w:rFonts w:ascii="Times New Roman" w:eastAsia="Times New Roman" w:hAnsi="Times New Roman" w:cs="Times New Roman"/>
          <w:sz w:val="23"/>
          <w:szCs w:val="23"/>
        </w:rPr>
        <w:t>Inoltre,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i farmaci chemioterapici presentano spesso pesanti effetti collaterali, anche a lu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ngo termine, per i giovani pazienti. Questi motivi rendono necessario identificare nuove opzioni terapeutiche basate su terapie bersaglio specifiche o farmaci che presentino minori effetti collaterali. </w:t>
      </w:r>
    </w:p>
    <w:p w14:paraId="0EB07CC7" w14:textId="77777777" w:rsidR="0005279F" w:rsidRDefault="0005279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EBCFD8F" w14:textId="25BE402B" w:rsidR="00FB1B8F" w:rsidRPr="00D5058A" w:rsidRDefault="00593623">
      <w:pPr>
        <w:spacing w:after="0" w:line="360" w:lineRule="auto"/>
        <w:jc w:val="both"/>
      </w:pP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Gli studi molecolari hanno evidenziato che i sarcomi 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di Ewing, pur essendo caratterizzati dalla traslocazione </w:t>
      </w:r>
      <w:r w:rsidRPr="00D5058A">
        <w:rPr>
          <w:rFonts w:ascii="Times New Roman" w:eastAsiaTheme="minorEastAsia" w:hAnsi="Times New Roman" w:cs="Times New Roman"/>
          <w:sz w:val="23"/>
          <w:szCs w:val="23"/>
        </w:rPr>
        <w:t>EWS-FLI1 come maggiore evento di patogenesi,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presentano una elevata stabilità genomica. </w:t>
      </w:r>
      <w:r w:rsidR="0005279F" w:rsidRPr="00D5058A">
        <w:rPr>
          <w:rFonts w:ascii="Times New Roman" w:eastAsia="Times New Roman" w:hAnsi="Times New Roman" w:cs="Times New Roman"/>
          <w:sz w:val="23"/>
          <w:szCs w:val="23"/>
        </w:rPr>
        <w:t>Pertanto,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attualmente si stanno indagando meccanismi post-trascrizionali ed epigenetici come maggiori regolatori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della malignità di questa neoplasia e quindi come potenziali bersagli terapeutici. Fattori che cooperano alla malignità possono essere l’espressione di CD99 e il complesso dei fattori che compongono il sistema IGF (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Insulin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-like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growth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factor).</w:t>
      </w:r>
    </w:p>
    <w:p w14:paraId="335862EB" w14:textId="77777777" w:rsidR="00FB1B8F" w:rsidRPr="00D5058A" w:rsidRDefault="00FB1B8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0D79089" w14:textId="77777777" w:rsidR="00FB1B8F" w:rsidRPr="00D5058A" w:rsidRDefault="00593623">
      <w:pPr>
        <w:spacing w:after="0" w:line="360" w:lineRule="auto"/>
        <w:jc w:val="both"/>
      </w:pPr>
      <w:r w:rsidRPr="00D5058A">
        <w:rPr>
          <w:rFonts w:ascii="Times New Roman" w:eastAsia="Times New Roman" w:hAnsi="Times New Roman" w:cs="Times New Roman"/>
          <w:sz w:val="23"/>
          <w:szCs w:val="23"/>
        </w:rPr>
        <w:t>Il primo s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copo di questo progetto sarà studiare il ruolo di un membro del sistema IGF, in particolare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Insulin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-like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Growth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Factor 2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mRNA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binding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protein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3 (IGF2BP3). L’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iperespressione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di questa proteina che lega l’RNA sembra infatti avere un ruolo nel favorire la cre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scita e la malignità tumorale e nella risposta ai farmaci. Verrà quindi studiata in vivo la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tumorigenicità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e la malignità di diversi modelli di sarcoma di Ewing, linee cellulari e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Patient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Derived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D5058A">
        <w:rPr>
          <w:rFonts w:ascii="Times New Roman" w:eastAsia="Times New Roman" w:hAnsi="Times New Roman" w:cs="Times New Roman"/>
          <w:sz w:val="23"/>
          <w:szCs w:val="23"/>
        </w:rPr>
        <w:t>Xenograft</w:t>
      </w:r>
      <w:proofErr w:type="spellEnd"/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(PDX) con diversa espressione di IGF2BP3. Verrà in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>oltre valutata la relazione tra espressione di IGF2BP3 e risposta alla chemioterapia standard.</w:t>
      </w:r>
    </w:p>
    <w:p w14:paraId="48D0B654" w14:textId="77777777" w:rsidR="00FB1B8F" w:rsidRPr="00D5058A" w:rsidRDefault="00FB1B8F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9EF9733" w14:textId="128C4FB1" w:rsidR="00FB1B8F" w:rsidRPr="00D5058A" w:rsidRDefault="00593623">
      <w:pPr>
        <w:spacing w:after="0" w:line="360" w:lineRule="auto"/>
        <w:jc w:val="both"/>
      </w:pPr>
      <w:r w:rsidRPr="00D5058A">
        <w:rPr>
          <w:rFonts w:ascii="Times New Roman" w:eastAsia="Times New Roman" w:hAnsi="Times New Roman" w:cs="Times New Roman"/>
          <w:sz w:val="23"/>
          <w:szCs w:val="23"/>
        </w:rPr>
        <w:t>Il secondo scopo sarà quello di valutare l’efficacia antitumorale di nuovi farmaci mirati in grado di interferire con IGF2BP3 in combinazione o meno con la chem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ioterapia. Un gruppo di molecole interessanti sono gli inibitori delle proteine BET (superfamiglia che comprende BRD2, BRD3, BRD4, BRDT) che regolano la trascrizione a livello epigenetico perché legano i residui acetilati sulle code istoniche inducendo lo 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>stato di cromatina aperta e fungendo da scaffold per il reclutamento del complesso trascrizionale e della RNA polimerasi. Gli inibitori delle proteine BET (</w:t>
      </w:r>
      <w:r w:rsidR="0005279F" w:rsidRPr="00D5058A">
        <w:rPr>
          <w:rFonts w:ascii="Times New Roman" w:eastAsia="Times New Roman" w:hAnsi="Times New Roman" w:cs="Times New Roman"/>
          <w:sz w:val="23"/>
          <w:szCs w:val="23"/>
        </w:rPr>
        <w:t>come, ad esempio,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il JQ1) legano in maniera competitiva queste proteine impedendone il legame ai resid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ui acetilati e quindi bloccando la trascrizione. Nel </w:t>
      </w:r>
      <w:r w:rsidR="0005279F" w:rsidRPr="00D5058A">
        <w:rPr>
          <w:rFonts w:ascii="Times New Roman" w:eastAsia="Times New Roman" w:hAnsi="Times New Roman" w:cs="Times New Roman"/>
          <w:sz w:val="23"/>
          <w:szCs w:val="23"/>
        </w:rPr>
        <w:t>cancro, ad esempio,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questi agenti sono stati trovati bloccare l'espressione dell’oncogene</w:t>
      </w:r>
      <w:r w:rsidR="0005279F">
        <w:rPr>
          <w:rFonts w:ascii="Times New Roman" w:eastAsia="Times New Roman" w:hAnsi="Times New Roman" w:cs="Times New Roman"/>
          <w:sz w:val="23"/>
          <w:szCs w:val="23"/>
        </w:rPr>
        <w:t xml:space="preserve"> MYC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e anche l'espressione di IGF2BP3. </w:t>
      </w:r>
      <w:r w:rsidR="0005279F" w:rsidRPr="00D5058A">
        <w:rPr>
          <w:rFonts w:ascii="Times New Roman" w:eastAsia="Times New Roman" w:hAnsi="Times New Roman" w:cs="Times New Roman"/>
          <w:sz w:val="23"/>
          <w:szCs w:val="23"/>
        </w:rPr>
        <w:t>Pertanto,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verrà valutata l’efficacia antitumorale di questo gruppo di molecole</w:t>
      </w:r>
      <w:r w:rsidRPr="00D5058A">
        <w:rPr>
          <w:rFonts w:ascii="Times New Roman" w:eastAsia="Times New Roman" w:hAnsi="Times New Roman" w:cs="Times New Roman"/>
          <w:sz w:val="23"/>
          <w:szCs w:val="23"/>
        </w:rPr>
        <w:t xml:space="preserve"> nel sarcoma di Ewing in combinazione o meno con i chemioterapici standard.</w:t>
      </w:r>
    </w:p>
    <w:p w14:paraId="47883B78" w14:textId="77777777" w:rsidR="00FB1B8F" w:rsidRPr="00D5058A" w:rsidRDefault="00FB1B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5E506C" w14:textId="477B5427" w:rsidR="00FB1B8F" w:rsidRPr="00D5058A" w:rsidRDefault="00593623">
      <w:pPr>
        <w:spacing w:line="360" w:lineRule="auto"/>
        <w:rPr>
          <w:rFonts w:ascii="Times New Roman" w:hAnsi="Times New Roman" w:cs="Times New Roman"/>
          <w:b/>
        </w:rPr>
      </w:pPr>
      <w:r w:rsidRPr="00D5058A">
        <w:rPr>
          <w:rFonts w:ascii="Times New Roman" w:hAnsi="Times New Roman" w:cs="Times New Roman"/>
          <w:b/>
        </w:rPr>
        <w:t>PIANO DELLE ATTIVIT</w:t>
      </w:r>
      <w:r w:rsidR="0005279F">
        <w:rPr>
          <w:rFonts w:ascii="Times New Roman" w:hAnsi="Times New Roman" w:cs="Times New Roman"/>
          <w:b/>
        </w:rPr>
        <w:t>À</w:t>
      </w:r>
      <w:r w:rsidRPr="00D5058A">
        <w:rPr>
          <w:rFonts w:ascii="Times New Roman" w:hAnsi="Times New Roman" w:cs="Times New Roman"/>
          <w:b/>
        </w:rPr>
        <w:t xml:space="preserve"> DELL’ASSEGNISTA</w:t>
      </w:r>
    </w:p>
    <w:p w14:paraId="4D40134E" w14:textId="610A2F39" w:rsidR="00FB1B8F" w:rsidRDefault="00593623" w:rsidP="0005279F">
      <w:pPr>
        <w:spacing w:after="0" w:line="360" w:lineRule="auto"/>
        <w:jc w:val="both"/>
      </w:pPr>
      <w:r w:rsidRPr="00D5058A">
        <w:rPr>
          <w:rFonts w:ascii="Times New Roman" w:hAnsi="Times New Roman" w:cs="Times New Roman"/>
        </w:rPr>
        <w:t xml:space="preserve">Il destinatario dell’assegno svolgerà, sotto la diretta supervisione del tutor, le attività sperimentali </w:t>
      </w:r>
      <w:r w:rsidRPr="00D5058A">
        <w:rPr>
          <w:rFonts w:ascii="Times New Roman" w:hAnsi="Times New Roman" w:cs="Times New Roman"/>
          <w:i/>
        </w:rPr>
        <w:t>in vivo</w:t>
      </w:r>
      <w:r w:rsidRPr="00D5058A">
        <w:rPr>
          <w:rFonts w:ascii="Times New Roman" w:hAnsi="Times New Roman" w:cs="Times New Roman"/>
        </w:rPr>
        <w:t xml:space="preserve"> e la successiva fase di elab</w:t>
      </w:r>
      <w:r w:rsidRPr="00D5058A">
        <w:rPr>
          <w:rFonts w:ascii="Times New Roman" w:hAnsi="Times New Roman" w:cs="Times New Roman"/>
        </w:rPr>
        <w:t xml:space="preserve">orazione dei dati, con acquisizione di autonomia nella fase di disegno, esecuzione ed analisi degli esperimenti. L’assegnista si occuperà di tutte </w:t>
      </w:r>
      <w:r w:rsidRPr="00D5058A">
        <w:rPr>
          <w:rFonts w:ascii="Times New Roman" w:hAnsi="Times New Roman" w:cs="Times New Roman"/>
        </w:rPr>
        <w:t xml:space="preserve">le attività sperimentali inerenti </w:t>
      </w:r>
      <w:r w:rsidR="0005279F" w:rsidRPr="00D5058A">
        <w:rPr>
          <w:rFonts w:ascii="Times New Roman" w:hAnsi="Times New Roman" w:cs="Times New Roman"/>
        </w:rPr>
        <w:t>al</w:t>
      </w:r>
      <w:r w:rsidRPr="00D5058A">
        <w:rPr>
          <w:rFonts w:ascii="Times New Roman" w:hAnsi="Times New Roman" w:cs="Times New Roman"/>
        </w:rPr>
        <w:t xml:space="preserve"> progetto sia </w:t>
      </w:r>
      <w:r w:rsidRPr="00D5058A">
        <w:rPr>
          <w:rFonts w:ascii="Times New Roman" w:hAnsi="Times New Roman" w:cs="Times New Roman"/>
          <w:i/>
          <w:iCs/>
        </w:rPr>
        <w:t>in vivo</w:t>
      </w:r>
      <w:r w:rsidRPr="00D5058A">
        <w:rPr>
          <w:rFonts w:ascii="Times New Roman" w:hAnsi="Times New Roman" w:cs="Times New Roman"/>
        </w:rPr>
        <w:t xml:space="preserve"> che </w:t>
      </w:r>
      <w:r w:rsidRPr="00D5058A">
        <w:rPr>
          <w:rFonts w:ascii="Times New Roman" w:hAnsi="Times New Roman" w:cs="Times New Roman"/>
          <w:i/>
          <w:iCs/>
        </w:rPr>
        <w:t>ex vivo</w:t>
      </w:r>
      <w:r w:rsidRPr="00D5058A">
        <w:rPr>
          <w:rFonts w:ascii="Times New Roman" w:hAnsi="Times New Roman" w:cs="Times New Roman"/>
        </w:rPr>
        <w:t xml:space="preserve">, sia di tipo cellulare che </w:t>
      </w:r>
      <w:r w:rsidRPr="00D5058A">
        <w:rPr>
          <w:rFonts w:ascii="Times New Roman" w:hAnsi="Times New Roman" w:cs="Times New Roman"/>
        </w:rPr>
        <w:t>molecolare</w:t>
      </w:r>
      <w:r w:rsidRPr="00D5058A">
        <w:rPr>
          <w:rFonts w:ascii="Times New Roman" w:hAnsi="Times New Roman" w:cs="Times New Roman"/>
        </w:rPr>
        <w:t xml:space="preserve">. </w:t>
      </w:r>
      <w:r w:rsidRPr="00D5058A">
        <w:rPr>
          <w:rFonts w:ascii="Times New Roman" w:hAnsi="Times New Roman" w:cs="Times New Roman"/>
        </w:rPr>
        <w:t>La formazione dell’assegnista sarà arricchita dalla</w:t>
      </w:r>
      <w:r w:rsidRPr="00D5058A">
        <w:rPr>
          <w:rFonts w:ascii="Times New Roman" w:hAnsi="Times New Roman" w:cs="Times New Roman"/>
        </w:rPr>
        <w:t xml:space="preserve"> partecipazione attiva alle riunioni organizzative di laboratorio e alle sessioni di discussione dei dati relativi ai progetti di ricerca, nonché dalla partecipazione a congressi sia per comuni</w:t>
      </w:r>
      <w:r w:rsidRPr="00D5058A">
        <w:rPr>
          <w:rFonts w:ascii="Times New Roman" w:hAnsi="Times New Roman" w:cs="Times New Roman"/>
        </w:rPr>
        <w:t>care i propri dati che per assistere a comunicazioni su argomenti di oncologia ed immunologia con lo scopo di ampliare le conoscenze scientifiche e tecniche.</w:t>
      </w:r>
    </w:p>
    <w:p w14:paraId="2E316989" w14:textId="77777777" w:rsidR="00FB1B8F" w:rsidRDefault="00FB1B8F">
      <w:pPr>
        <w:spacing w:after="0" w:line="360" w:lineRule="auto"/>
      </w:pPr>
    </w:p>
    <w:sectPr w:rsidR="00FB1B8F" w:rsidSect="00052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3039" w:h="19845"/>
      <w:pgMar w:top="1417" w:right="1982" w:bottom="1134" w:left="184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CF4D6" w14:textId="77777777" w:rsidR="00593623" w:rsidRDefault="00593623" w:rsidP="0005279F">
      <w:pPr>
        <w:spacing w:after="0" w:line="240" w:lineRule="auto"/>
      </w:pPr>
      <w:r>
        <w:separator/>
      </w:r>
    </w:p>
  </w:endnote>
  <w:endnote w:type="continuationSeparator" w:id="0">
    <w:p w14:paraId="2F1ECD38" w14:textId="77777777" w:rsidR="00593623" w:rsidRDefault="00593623" w:rsidP="000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4A2D" w14:textId="77777777" w:rsidR="0005279F" w:rsidRDefault="000527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48382265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6EF1E731" w14:textId="77777777" w:rsidR="0005279F" w:rsidRDefault="000527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2326B0F" w14:textId="10A6ED7F" w:rsidR="0005279F" w:rsidRDefault="0005279F">
        <w:pPr>
          <w:pStyle w:val="Pidipagina"/>
          <w:jc w:val="center"/>
        </w:pPr>
      </w:p>
    </w:sdtContent>
  </w:sdt>
  <w:p w14:paraId="5BDABBF7" w14:textId="77777777" w:rsidR="0005279F" w:rsidRDefault="000527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7A99B" w14:textId="77777777" w:rsidR="0005279F" w:rsidRDefault="000527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A417A" w14:textId="77777777" w:rsidR="00593623" w:rsidRDefault="00593623" w:rsidP="0005279F">
      <w:pPr>
        <w:spacing w:after="0" w:line="240" w:lineRule="auto"/>
      </w:pPr>
      <w:r>
        <w:separator/>
      </w:r>
    </w:p>
  </w:footnote>
  <w:footnote w:type="continuationSeparator" w:id="0">
    <w:p w14:paraId="1D7FCA83" w14:textId="77777777" w:rsidR="00593623" w:rsidRDefault="00593623" w:rsidP="000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9DD00" w14:textId="77777777" w:rsidR="0005279F" w:rsidRDefault="000527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0E797" w14:textId="77777777" w:rsidR="0005279F" w:rsidRDefault="000527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BC26" w14:textId="77777777" w:rsidR="0005279F" w:rsidRDefault="000527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8F"/>
    <w:rsid w:val="0005279F"/>
    <w:rsid w:val="00593623"/>
    <w:rsid w:val="00B93D77"/>
    <w:rsid w:val="00D5058A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9715B"/>
  <w15:docId w15:val="{98D4C2CC-8085-4393-91E4-12A7069D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FDB"/>
    <w:pPr>
      <w:spacing w:after="200" w:line="276" w:lineRule="auto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Predefinito">
    <w:name w:val="Predefinito"/>
    <w:qFormat/>
    <w:pPr>
      <w:spacing w:after="200" w:line="276" w:lineRule="auto"/>
    </w:pPr>
    <w:rPr>
      <w:rFonts w:ascii="Liberation Serif" w:eastAsia="Tahoma" w:hAnsi="Liberation Serif" w:cs="Noto Sans"/>
      <w:sz w:val="24"/>
      <w:szCs w:val="24"/>
    </w:rPr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A4">
    <w:name w:val="A4"/>
    <w:basedOn w:val="Testo"/>
    <w:qFormat/>
    <w:rPr>
      <w:rFonts w:ascii="Noto Sans" w:hAnsi="Noto Sans"/>
      <w:sz w:val="36"/>
    </w:rPr>
  </w:style>
  <w:style w:type="paragraph" w:customStyle="1" w:styleId="Testo">
    <w:name w:val="Testo"/>
    <w:basedOn w:val="Didascalia"/>
    <w:qFormat/>
  </w:style>
  <w:style w:type="paragraph" w:customStyle="1" w:styleId="TitoloA4">
    <w:name w:val="Titolo A4"/>
    <w:basedOn w:val="A4"/>
    <w:qFormat/>
    <w:rPr>
      <w:sz w:val="87"/>
    </w:rPr>
  </w:style>
  <w:style w:type="paragraph" w:customStyle="1" w:styleId="IntestazioneA4">
    <w:name w:val="Intestazione A4"/>
    <w:basedOn w:val="A4"/>
    <w:qFormat/>
    <w:rPr>
      <w:sz w:val="48"/>
    </w:rPr>
  </w:style>
  <w:style w:type="paragraph" w:customStyle="1" w:styleId="TestoA4">
    <w:name w:val="Testo A4"/>
    <w:basedOn w:val="A4"/>
    <w:qFormat/>
  </w:style>
  <w:style w:type="paragraph" w:customStyle="1" w:styleId="A0">
    <w:name w:val="A0"/>
    <w:basedOn w:val="Testo"/>
    <w:qFormat/>
    <w:rPr>
      <w:rFonts w:ascii="Noto Sans" w:hAnsi="Noto Sans"/>
      <w:sz w:val="95"/>
    </w:rPr>
  </w:style>
  <w:style w:type="paragraph" w:customStyle="1" w:styleId="TitoloA0">
    <w:name w:val="Titolo A0"/>
    <w:basedOn w:val="A0"/>
    <w:qFormat/>
    <w:rPr>
      <w:sz w:val="191"/>
    </w:rPr>
  </w:style>
  <w:style w:type="paragraph" w:customStyle="1" w:styleId="IntestazioneA0">
    <w:name w:val="Intestazione A0"/>
    <w:basedOn w:val="A0"/>
    <w:qFormat/>
    <w:rPr>
      <w:sz w:val="143"/>
    </w:rPr>
  </w:style>
  <w:style w:type="paragraph" w:customStyle="1" w:styleId="TestoA0">
    <w:name w:val="Testo A0"/>
    <w:basedOn w:val="A0"/>
    <w:qFormat/>
  </w:style>
  <w:style w:type="paragraph" w:customStyle="1" w:styleId="Immagine">
    <w:name w:val="Immagine"/>
    <w:qFormat/>
    <w:pPr>
      <w:spacing w:after="200" w:line="276" w:lineRule="auto"/>
    </w:pPr>
    <w:rPr>
      <w:rFonts w:ascii="Liberation Sans" w:eastAsia="Tahoma" w:hAnsi="Liberation Sans" w:cs="Noto Sans"/>
      <w:sz w:val="36"/>
      <w:szCs w:val="24"/>
    </w:rPr>
  </w:style>
  <w:style w:type="paragraph" w:customStyle="1" w:styleId="Forme">
    <w:name w:val="Forme"/>
    <w:basedOn w:val="Immagine"/>
    <w:qFormat/>
    <w:rPr>
      <w:b/>
      <w:sz w:val="28"/>
    </w:rPr>
  </w:style>
  <w:style w:type="paragraph" w:customStyle="1" w:styleId="Pieno">
    <w:name w:val="Pieno"/>
    <w:basedOn w:val="Forme"/>
    <w:qFormat/>
  </w:style>
  <w:style w:type="paragraph" w:customStyle="1" w:styleId="Blupieno">
    <w:name w:val="Blu pieno"/>
    <w:basedOn w:val="Pieno"/>
    <w:qFormat/>
    <w:rPr>
      <w:color w:val="FFFFFF"/>
    </w:rPr>
  </w:style>
  <w:style w:type="paragraph" w:customStyle="1" w:styleId="Verdepieno">
    <w:name w:val="Verde pieno"/>
    <w:basedOn w:val="Pieno"/>
    <w:qFormat/>
    <w:rPr>
      <w:color w:val="FFFFFF"/>
    </w:rPr>
  </w:style>
  <w:style w:type="paragraph" w:customStyle="1" w:styleId="Rossopieno">
    <w:name w:val="Rosso pieno"/>
    <w:basedOn w:val="Pieno"/>
    <w:qFormat/>
    <w:rPr>
      <w:color w:val="FFFFFF"/>
    </w:rPr>
  </w:style>
  <w:style w:type="paragraph" w:customStyle="1" w:styleId="Giallopieno">
    <w:name w:val="Giallo pieno"/>
    <w:basedOn w:val="Pieno"/>
    <w:qFormat/>
    <w:rPr>
      <w:color w:val="FFFFFF"/>
    </w:rPr>
  </w:style>
  <w:style w:type="paragraph" w:customStyle="1" w:styleId="Contornato">
    <w:name w:val="Contornato"/>
    <w:basedOn w:val="Forme"/>
    <w:qFormat/>
  </w:style>
  <w:style w:type="paragraph" w:customStyle="1" w:styleId="Contornatoinblu">
    <w:name w:val="Contornato in blu"/>
    <w:basedOn w:val="Contornato"/>
    <w:qFormat/>
    <w:rPr>
      <w:color w:val="355269"/>
    </w:rPr>
  </w:style>
  <w:style w:type="paragraph" w:customStyle="1" w:styleId="Contornatoinverde">
    <w:name w:val="Contornato in verde"/>
    <w:basedOn w:val="Contornato"/>
    <w:qFormat/>
    <w:rPr>
      <w:color w:val="127622"/>
    </w:rPr>
  </w:style>
  <w:style w:type="paragraph" w:customStyle="1" w:styleId="Contornatoinrosso">
    <w:name w:val="Contornato in rosso"/>
    <w:basedOn w:val="Contornato"/>
    <w:qFormat/>
    <w:rPr>
      <w:color w:val="C9211E"/>
    </w:rPr>
  </w:style>
  <w:style w:type="paragraph" w:customStyle="1" w:styleId="Contornatoingiallo">
    <w:name w:val="Contornato in giallo"/>
    <w:basedOn w:val="Contornato"/>
    <w:qFormat/>
    <w:rPr>
      <w:color w:val="B47804"/>
    </w:rPr>
  </w:style>
  <w:style w:type="paragraph" w:customStyle="1" w:styleId="Linee">
    <w:name w:val="Linee"/>
    <w:basedOn w:val="Immagine"/>
    <w:qFormat/>
  </w:style>
  <w:style w:type="paragraph" w:customStyle="1" w:styleId="Lineaafreccia">
    <w:name w:val="Linea a freccia"/>
    <w:basedOn w:val="Linee"/>
    <w:qFormat/>
  </w:style>
  <w:style w:type="paragraph" w:customStyle="1" w:styleId="Lineatratteggiata">
    <w:name w:val="Linea tratteggiata"/>
    <w:basedOn w:val="Linee"/>
    <w:qFormat/>
  </w:style>
  <w:style w:type="paragraph" w:customStyle="1" w:styleId="master-page48LTGliederung1">
    <w:name w:val="master-page48~LT~Gliederung 1"/>
    <w:qFormat/>
    <w:pPr>
      <w:spacing w:before="283" w:line="276" w:lineRule="auto"/>
    </w:pPr>
    <w:rPr>
      <w:rFonts w:ascii="Arial Unicode MS" w:eastAsia="Tahoma" w:hAnsi="Arial Unicode MS" w:cs="Noto Sans"/>
      <w:kern w:val="2"/>
      <w:sz w:val="63"/>
      <w:szCs w:val="24"/>
    </w:rPr>
  </w:style>
  <w:style w:type="paragraph" w:customStyle="1" w:styleId="master-page48LTGliederung2">
    <w:name w:val="master-page48~LT~Gliederung 2"/>
    <w:basedOn w:val="master-page48LTGliederung1"/>
    <w:qFormat/>
    <w:pPr>
      <w:spacing w:before="227"/>
    </w:pPr>
    <w:rPr>
      <w:sz w:val="56"/>
    </w:rPr>
  </w:style>
  <w:style w:type="paragraph" w:customStyle="1" w:styleId="master-page48LTGliederung3">
    <w:name w:val="master-page48~LT~Gliederung 3"/>
    <w:basedOn w:val="master-page48LTGliederung2"/>
    <w:qFormat/>
    <w:pPr>
      <w:spacing w:before="170"/>
    </w:pPr>
    <w:rPr>
      <w:sz w:val="48"/>
    </w:rPr>
  </w:style>
  <w:style w:type="paragraph" w:customStyle="1" w:styleId="master-page48LTGliederung4">
    <w:name w:val="master-page48~LT~Gliederung 4"/>
    <w:basedOn w:val="master-page48LTGliederung3"/>
    <w:qFormat/>
    <w:pPr>
      <w:spacing w:before="113"/>
    </w:pPr>
    <w:rPr>
      <w:sz w:val="40"/>
    </w:rPr>
  </w:style>
  <w:style w:type="paragraph" w:customStyle="1" w:styleId="master-page48LTGliederung5">
    <w:name w:val="master-page48~LT~Gliederung 5"/>
    <w:basedOn w:val="master-page48LTGliederung4"/>
    <w:qFormat/>
    <w:pPr>
      <w:spacing w:before="57"/>
    </w:pPr>
  </w:style>
  <w:style w:type="paragraph" w:customStyle="1" w:styleId="master-page48LTGliederung6">
    <w:name w:val="master-page48~LT~Gliederung 6"/>
    <w:basedOn w:val="master-page48LTGliederung5"/>
    <w:qFormat/>
  </w:style>
  <w:style w:type="paragraph" w:customStyle="1" w:styleId="master-page48LTGliederung7">
    <w:name w:val="master-page48~LT~Gliederung 7"/>
    <w:basedOn w:val="master-page48LTGliederung6"/>
    <w:qFormat/>
  </w:style>
  <w:style w:type="paragraph" w:customStyle="1" w:styleId="master-page48LTGliederung8">
    <w:name w:val="master-page48~LT~Gliederung 8"/>
    <w:basedOn w:val="master-page48LTGliederung7"/>
    <w:qFormat/>
  </w:style>
  <w:style w:type="paragraph" w:customStyle="1" w:styleId="master-page48LTGliederung9">
    <w:name w:val="master-page48~LT~Gliederung 9"/>
    <w:basedOn w:val="master-page48LTGliederung8"/>
    <w:qFormat/>
  </w:style>
  <w:style w:type="paragraph" w:customStyle="1" w:styleId="master-page48LTTitel">
    <w:name w:val="master-page48~LT~Titel"/>
    <w:qFormat/>
    <w:pPr>
      <w:spacing w:after="200" w:line="276" w:lineRule="auto"/>
      <w:jc w:val="center"/>
    </w:pPr>
    <w:rPr>
      <w:rFonts w:ascii="Arial Unicode MS" w:eastAsia="Tahoma" w:hAnsi="Arial Unicode MS" w:cs="Noto Sans"/>
      <w:kern w:val="2"/>
      <w:sz w:val="88"/>
      <w:szCs w:val="24"/>
    </w:rPr>
  </w:style>
  <w:style w:type="paragraph" w:customStyle="1" w:styleId="master-page48LTUntertitel">
    <w:name w:val="master-page48~LT~Untertitel"/>
    <w:qFormat/>
    <w:pPr>
      <w:spacing w:after="200" w:line="276" w:lineRule="auto"/>
      <w:jc w:val="center"/>
    </w:pPr>
    <w:rPr>
      <w:rFonts w:ascii="Arial Unicode MS" w:eastAsia="Tahoma" w:hAnsi="Arial Unicode MS" w:cs="Noto Sans"/>
      <w:kern w:val="2"/>
      <w:sz w:val="64"/>
      <w:szCs w:val="24"/>
    </w:rPr>
  </w:style>
  <w:style w:type="paragraph" w:customStyle="1" w:styleId="master-page48LTNotizen">
    <w:name w:val="master-page48~LT~Notizen"/>
    <w:qFormat/>
    <w:pPr>
      <w:spacing w:after="200" w:line="276" w:lineRule="auto"/>
      <w:ind w:left="340" w:hanging="340"/>
    </w:pPr>
    <w:rPr>
      <w:rFonts w:ascii="Arial Unicode MS" w:eastAsia="Tahoma" w:hAnsi="Arial Unicode MS" w:cs="Noto Sans"/>
      <w:kern w:val="2"/>
      <w:sz w:val="40"/>
      <w:szCs w:val="24"/>
    </w:rPr>
  </w:style>
  <w:style w:type="paragraph" w:customStyle="1" w:styleId="master-page48LTHintergrundobjekte">
    <w:name w:val="master-page48~LT~Hintergrundobjekte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48LTHintergrund">
    <w:name w:val="master-page48~LT~Hintergrund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 Unicode MS" w:eastAsia="Tahoma" w:hAnsi="Arial Unicode MS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Sfondo">
    <w:name w:val="Sfondo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Note">
    <w:name w:val="Note"/>
    <w:qFormat/>
    <w:pPr>
      <w:spacing w:after="200" w:line="276" w:lineRule="auto"/>
      <w:ind w:left="340" w:hanging="340"/>
    </w:pPr>
    <w:rPr>
      <w:rFonts w:ascii="Arial Unicode MS" w:eastAsia="Tahoma" w:hAnsi="Arial Unicode MS" w:cs="Noto Sans"/>
      <w:kern w:val="2"/>
      <w:sz w:val="40"/>
      <w:szCs w:val="24"/>
    </w:rPr>
  </w:style>
  <w:style w:type="paragraph" w:customStyle="1" w:styleId="Struttura1">
    <w:name w:val="Struttura 1"/>
    <w:qFormat/>
    <w:pPr>
      <w:spacing w:before="283" w:line="276" w:lineRule="auto"/>
    </w:pPr>
    <w:rPr>
      <w:rFonts w:ascii="Arial Unicode MS" w:eastAsia="Tahoma" w:hAnsi="Arial Unicode MS" w:cs="Noto Sans"/>
      <w:kern w:val="2"/>
      <w:sz w:val="63"/>
      <w:szCs w:val="24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customStyle="1" w:styleId="master-page3LTGliederung1">
    <w:name w:val="master-page3~LT~Gliederung 1"/>
    <w:qFormat/>
    <w:pPr>
      <w:spacing w:before="283" w:line="276" w:lineRule="auto"/>
    </w:pPr>
    <w:rPr>
      <w:rFonts w:ascii="Arial Unicode MS" w:eastAsia="Tahoma" w:hAnsi="Arial Unicode MS" w:cs="Noto Sans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spacing w:after="200" w:line="276" w:lineRule="auto"/>
      <w:jc w:val="center"/>
    </w:pPr>
    <w:rPr>
      <w:rFonts w:ascii="Arial Unicode MS" w:eastAsia="Tahoma" w:hAnsi="Arial Unicode MS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spacing w:after="200" w:line="276" w:lineRule="auto"/>
      <w:jc w:val="center"/>
    </w:pPr>
    <w:rPr>
      <w:rFonts w:ascii="Arial Unicode MS" w:eastAsia="Tahoma" w:hAnsi="Arial Unicode MS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spacing w:after="200" w:line="276" w:lineRule="auto"/>
      <w:ind w:left="340" w:hanging="340"/>
    </w:pPr>
    <w:rPr>
      <w:rFonts w:ascii="Arial Unicode MS" w:eastAsia="Tahoma" w:hAnsi="Arial Unicode MS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pPr>
      <w:spacing w:after="200" w:line="276" w:lineRule="auto"/>
    </w:pPr>
    <w:rPr>
      <w:rFonts w:ascii="Liberation Serif" w:eastAsia="Tahoma" w:hAnsi="Liberation Serif" w:cs="Noto Sans"/>
      <w:kern w:val="2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2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79F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52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7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</dc:creator>
  <dc:description/>
  <cp:lastModifiedBy>Pier Luigi</cp:lastModifiedBy>
  <cp:revision>3</cp:revision>
  <cp:lastPrinted>2017-06-19T14:19:00Z</cp:lastPrinted>
  <dcterms:created xsi:type="dcterms:W3CDTF">2020-11-19T11:35:00Z</dcterms:created>
  <dcterms:modified xsi:type="dcterms:W3CDTF">2020-11-19T11:45:00Z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